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00" w:lineRule="exact"/>
        <w:rPr>
          <w:rFonts w:ascii="黑体" w:hAnsi="黑体" w:eastAsia="黑体"/>
          <w:b/>
          <w:szCs w:val="21"/>
        </w:rPr>
      </w:pPr>
      <w:r>
        <w:rPr>
          <w:rFonts w:hint="eastAsia" w:ascii="黑体" w:hAnsi="黑体" w:eastAsia="黑体"/>
          <w:sz w:val="32"/>
          <w:szCs w:val="32"/>
        </w:rPr>
        <w:t>附件</w:t>
      </w:r>
      <w:r>
        <w:rPr>
          <w:rFonts w:ascii="黑体" w:hAnsi="黑体" w:eastAsia="黑体"/>
          <w:sz w:val="32"/>
          <w:szCs w:val="32"/>
        </w:rPr>
        <w:t>2</w:t>
      </w:r>
    </w:p>
    <w:p/>
    <w:p/>
    <w:p>
      <w:pPr>
        <w:spacing w:before="120" w:after="240" w:line="500" w:lineRule="exact"/>
        <w:jc w:val="center"/>
        <w:rPr>
          <w:rFonts w:ascii="方正小标宋简体" w:eastAsia="方正小标宋简体"/>
          <w:bCs/>
          <w:sz w:val="48"/>
          <w:szCs w:val="48"/>
        </w:rPr>
      </w:pPr>
      <w:r>
        <w:rPr>
          <w:rFonts w:hint="eastAsia" w:ascii="方正小标宋简体" w:eastAsia="方正小标宋简体"/>
          <w:bCs/>
          <w:sz w:val="48"/>
          <w:szCs w:val="48"/>
        </w:rPr>
        <w:t>江西省研究生工作站报备表</w:t>
      </w:r>
    </w:p>
    <w:p>
      <w:pPr>
        <w:spacing w:before="120" w:after="240" w:line="500" w:lineRule="exact"/>
        <w:jc w:val="center"/>
        <w:rPr>
          <w:rFonts w:ascii="楷体_GB2312" w:eastAsia="楷体_GB2312"/>
          <w:bCs/>
          <w:sz w:val="32"/>
          <w:szCs w:val="32"/>
        </w:rPr>
      </w:pPr>
      <w:r>
        <w:rPr>
          <w:rFonts w:hint="eastAsia" w:ascii="楷体_GB2312" w:eastAsia="楷体_GB2312"/>
          <w:bCs/>
          <w:sz w:val="32"/>
          <w:szCs w:val="32"/>
        </w:rPr>
        <w:t>（设站事业单位填报）</w:t>
      </w:r>
    </w:p>
    <w:p>
      <w:pPr>
        <w:spacing w:beforeLines="100"/>
        <w:jc w:val="center"/>
        <w:rPr>
          <w:b/>
          <w:sz w:val="72"/>
          <w:szCs w:val="72"/>
        </w:rPr>
      </w:pPr>
    </w:p>
    <w:p>
      <w:pPr>
        <w:spacing w:beforeLines="100"/>
        <w:jc w:val="center"/>
        <w:rPr>
          <w:b/>
          <w:sz w:val="72"/>
          <w:szCs w:val="72"/>
        </w:rPr>
      </w:pPr>
    </w:p>
    <w:tbl>
      <w:tblPr>
        <w:tblStyle w:val="6"/>
        <w:tblW w:w="0" w:type="auto"/>
        <w:jc w:val="center"/>
        <w:tblLayout w:type="autofit"/>
        <w:tblCellMar>
          <w:top w:w="0" w:type="dxa"/>
          <w:left w:w="108" w:type="dxa"/>
          <w:bottom w:w="0" w:type="dxa"/>
          <w:right w:w="108" w:type="dxa"/>
        </w:tblCellMar>
      </w:tblPr>
      <w:tblGrid>
        <w:gridCol w:w="2977"/>
        <w:gridCol w:w="5670"/>
      </w:tblGrid>
      <w:tr>
        <w:trPr>
          <w:jc w:val="center"/>
        </w:trPr>
        <w:tc>
          <w:tcPr>
            <w:tcW w:w="2977" w:type="dxa"/>
          </w:tcPr>
          <w:p>
            <w:pPr>
              <w:jc w:val="distribute"/>
              <w:rPr>
                <w:color w:val="FF0000"/>
              </w:rPr>
            </w:pPr>
            <w:r>
              <w:rPr>
                <w:rFonts w:hint="eastAsia" w:eastAsia="仿宋_GB2312"/>
                <w:sz w:val="32"/>
                <w:szCs w:val="30"/>
              </w:rPr>
              <w:t>设站单位全称</w:t>
            </w:r>
          </w:p>
        </w:tc>
        <w:tc>
          <w:tcPr>
            <w:tcW w:w="5670" w:type="dxa"/>
          </w:tcPr>
          <w:p>
            <w:pPr>
              <w:jc w:val="left"/>
              <w:rPr>
                <w:rFonts w:eastAsia="仿宋_GB2312"/>
                <w:sz w:val="32"/>
                <w:szCs w:val="30"/>
              </w:rPr>
            </w:pPr>
            <w:r>
              <w:rPr>
                <w:rFonts w:hint="eastAsia" w:eastAsia="仿宋_GB2312"/>
                <w:sz w:val="32"/>
                <w:szCs w:val="30"/>
              </w:rPr>
              <w:t>：</w:t>
            </w:r>
            <w:r>
              <w:rPr>
                <w:rFonts w:hint="eastAsia" w:eastAsia="仿宋_GB2312"/>
                <w:spacing w:val="-14"/>
                <w:sz w:val="32"/>
                <w:szCs w:val="32"/>
                <w:u w:val="single"/>
              </w:rPr>
              <w:t>江西省钨与稀土产品质量监督检验中心</w:t>
            </w:r>
          </w:p>
        </w:tc>
      </w:tr>
      <w:tr>
        <w:tblPrEx>
          <w:tblCellMar>
            <w:top w:w="0" w:type="dxa"/>
            <w:left w:w="108" w:type="dxa"/>
            <w:bottom w:w="0" w:type="dxa"/>
            <w:right w:w="108" w:type="dxa"/>
          </w:tblCellMar>
        </w:tblPrEx>
        <w:trPr>
          <w:jc w:val="center"/>
        </w:trPr>
        <w:tc>
          <w:tcPr>
            <w:tcW w:w="2977" w:type="dxa"/>
          </w:tcPr>
          <w:p>
            <w:pPr>
              <w:jc w:val="distribute"/>
            </w:pPr>
            <w:r>
              <w:rPr>
                <w:rFonts w:hint="eastAsia" w:eastAsia="仿宋_GB2312"/>
                <w:sz w:val="32"/>
                <w:szCs w:val="30"/>
              </w:rPr>
              <w:t>单位地址</w:t>
            </w:r>
          </w:p>
        </w:tc>
        <w:tc>
          <w:tcPr>
            <w:tcW w:w="5670" w:type="dxa"/>
          </w:tcPr>
          <w:p>
            <w:pPr>
              <w:jc w:val="left"/>
            </w:pPr>
            <w:r>
              <w:rPr>
                <w:rFonts w:hint="eastAsia" w:eastAsia="仿宋_GB2312"/>
                <w:sz w:val="32"/>
                <w:szCs w:val="30"/>
              </w:rPr>
              <w:t>：</w:t>
            </w:r>
            <w:r>
              <w:rPr>
                <w:rFonts w:hint="eastAsia" w:eastAsia="仿宋_GB2312"/>
                <w:spacing w:val="-14"/>
                <w:sz w:val="32"/>
                <w:szCs w:val="32"/>
                <w:u w:val="single"/>
              </w:rPr>
              <w:t>江西省赣州市开发区华坚南路68号</w:t>
            </w:r>
          </w:p>
        </w:tc>
      </w:tr>
      <w:tr>
        <w:tblPrEx>
          <w:tblCellMar>
            <w:top w:w="0" w:type="dxa"/>
            <w:left w:w="108" w:type="dxa"/>
            <w:bottom w:w="0" w:type="dxa"/>
            <w:right w:w="108" w:type="dxa"/>
          </w:tblCellMar>
        </w:tblPrEx>
        <w:trPr>
          <w:jc w:val="center"/>
        </w:trPr>
        <w:tc>
          <w:tcPr>
            <w:tcW w:w="2977" w:type="dxa"/>
          </w:tcPr>
          <w:p>
            <w:pPr>
              <w:jc w:val="distribute"/>
            </w:pPr>
            <w:r>
              <w:rPr>
                <w:rFonts w:hint="eastAsia" w:eastAsia="仿宋_GB2312"/>
                <w:sz w:val="32"/>
                <w:szCs w:val="30"/>
              </w:rPr>
              <w:t>单位联系人</w:t>
            </w:r>
          </w:p>
        </w:tc>
        <w:tc>
          <w:tcPr>
            <w:tcW w:w="5670" w:type="dxa"/>
          </w:tcPr>
          <w:p>
            <w:pPr>
              <w:jc w:val="left"/>
            </w:pPr>
            <w:r>
              <w:rPr>
                <w:rFonts w:hint="eastAsia" w:eastAsia="仿宋_GB2312"/>
                <w:sz w:val="32"/>
                <w:szCs w:val="30"/>
              </w:rPr>
              <w:t>：</w:t>
            </w:r>
            <w:r>
              <w:rPr>
                <w:rFonts w:hint="eastAsia" w:eastAsia="仿宋_GB2312"/>
                <w:spacing w:val="-14"/>
                <w:sz w:val="32"/>
                <w:szCs w:val="32"/>
                <w:u w:val="single"/>
              </w:rPr>
              <w:t xml:space="preserve">徐娜           </w:t>
            </w:r>
          </w:p>
        </w:tc>
      </w:tr>
      <w:tr>
        <w:tblPrEx>
          <w:tblCellMar>
            <w:top w:w="0" w:type="dxa"/>
            <w:left w:w="108" w:type="dxa"/>
            <w:bottom w:w="0" w:type="dxa"/>
            <w:right w:w="108" w:type="dxa"/>
          </w:tblCellMar>
        </w:tblPrEx>
        <w:trPr>
          <w:jc w:val="center"/>
        </w:trPr>
        <w:tc>
          <w:tcPr>
            <w:tcW w:w="2977" w:type="dxa"/>
          </w:tcPr>
          <w:p>
            <w:pPr>
              <w:jc w:val="distribute"/>
            </w:pPr>
            <w:r>
              <w:rPr>
                <w:rFonts w:hint="eastAsia" w:eastAsia="仿宋_GB2312"/>
                <w:sz w:val="32"/>
                <w:szCs w:val="30"/>
              </w:rPr>
              <w:t>联系电话</w:t>
            </w:r>
          </w:p>
        </w:tc>
        <w:tc>
          <w:tcPr>
            <w:tcW w:w="5670" w:type="dxa"/>
          </w:tcPr>
          <w:p>
            <w:pPr>
              <w:jc w:val="left"/>
            </w:pPr>
            <w:r>
              <w:rPr>
                <w:rFonts w:hint="eastAsia" w:eastAsia="仿宋_GB2312"/>
                <w:sz w:val="32"/>
                <w:szCs w:val="30"/>
              </w:rPr>
              <w:t>：</w:t>
            </w:r>
            <w:r>
              <w:rPr>
                <w:rFonts w:hint="eastAsia" w:eastAsia="仿宋_GB2312"/>
                <w:spacing w:val="-14"/>
                <w:sz w:val="32"/>
                <w:szCs w:val="32"/>
                <w:u w:val="single"/>
              </w:rPr>
              <w:t xml:space="preserve">18107971097   </w:t>
            </w:r>
          </w:p>
        </w:tc>
      </w:tr>
      <w:tr>
        <w:tblPrEx>
          <w:tblCellMar>
            <w:top w:w="0" w:type="dxa"/>
            <w:left w:w="108" w:type="dxa"/>
            <w:bottom w:w="0" w:type="dxa"/>
            <w:right w:w="108" w:type="dxa"/>
          </w:tblCellMar>
        </w:tblPrEx>
        <w:trPr>
          <w:jc w:val="center"/>
        </w:trPr>
        <w:tc>
          <w:tcPr>
            <w:tcW w:w="2977" w:type="dxa"/>
          </w:tcPr>
          <w:p>
            <w:pPr>
              <w:jc w:val="distribute"/>
              <w:rPr>
                <w:rFonts w:eastAsia="仿宋_GB2312"/>
                <w:sz w:val="32"/>
                <w:szCs w:val="30"/>
              </w:rPr>
            </w:pPr>
            <w:r>
              <w:rPr>
                <w:rFonts w:hint="eastAsia" w:eastAsia="仿宋_GB2312"/>
                <w:sz w:val="32"/>
                <w:szCs w:val="30"/>
              </w:rPr>
              <w:t>电子信箱</w:t>
            </w:r>
          </w:p>
        </w:tc>
        <w:tc>
          <w:tcPr>
            <w:tcW w:w="5670" w:type="dxa"/>
          </w:tcPr>
          <w:p>
            <w:pPr>
              <w:jc w:val="left"/>
            </w:pPr>
            <w:r>
              <w:rPr>
                <w:rFonts w:hint="eastAsia" w:eastAsia="仿宋_GB2312"/>
                <w:sz w:val="32"/>
                <w:szCs w:val="30"/>
              </w:rPr>
              <w:t>：</w:t>
            </w:r>
            <w:r>
              <w:rPr>
                <w:rFonts w:hint="eastAsia" w:eastAsia="仿宋_GB2312"/>
                <w:spacing w:val="-14"/>
                <w:sz w:val="32"/>
                <w:szCs w:val="32"/>
                <w:u w:val="single"/>
              </w:rPr>
              <w:t>huagongxuna@126.com</w:t>
            </w:r>
          </w:p>
        </w:tc>
      </w:tr>
      <w:tr>
        <w:tblPrEx>
          <w:tblCellMar>
            <w:top w:w="0" w:type="dxa"/>
            <w:left w:w="108" w:type="dxa"/>
            <w:bottom w:w="0" w:type="dxa"/>
            <w:right w:w="108" w:type="dxa"/>
          </w:tblCellMar>
        </w:tblPrEx>
        <w:trPr>
          <w:jc w:val="center"/>
        </w:trPr>
        <w:tc>
          <w:tcPr>
            <w:tcW w:w="2977" w:type="dxa"/>
          </w:tcPr>
          <w:p>
            <w:pPr>
              <w:jc w:val="distribute"/>
              <w:rPr>
                <w:rFonts w:eastAsia="仿宋_GB2312"/>
                <w:sz w:val="32"/>
                <w:szCs w:val="30"/>
              </w:rPr>
            </w:pPr>
            <w:r>
              <w:rPr>
                <w:rFonts w:hint="eastAsia" w:eastAsia="仿宋_GB2312"/>
                <w:sz w:val="32"/>
                <w:szCs w:val="30"/>
              </w:rPr>
              <w:t>合作高校名称</w:t>
            </w:r>
          </w:p>
        </w:tc>
        <w:tc>
          <w:tcPr>
            <w:tcW w:w="5670" w:type="dxa"/>
          </w:tcPr>
          <w:p>
            <w:pPr>
              <w:jc w:val="left"/>
            </w:pPr>
            <w:r>
              <w:rPr>
                <w:rFonts w:hint="eastAsia" w:eastAsia="仿宋_GB2312"/>
                <w:sz w:val="32"/>
                <w:szCs w:val="30"/>
              </w:rPr>
              <w:t>：</w:t>
            </w:r>
            <w:r>
              <w:rPr>
                <w:rFonts w:hint="eastAsia" w:eastAsia="仿宋_GB2312"/>
                <w:spacing w:val="-14"/>
                <w:sz w:val="32"/>
                <w:szCs w:val="32"/>
                <w:u w:val="single"/>
              </w:rPr>
              <w:t xml:space="preserve">江西理工大学  </w:t>
            </w:r>
          </w:p>
        </w:tc>
      </w:tr>
    </w:tbl>
    <w:p>
      <w:pPr>
        <w:spacing w:beforeLines="100"/>
        <w:jc w:val="center"/>
      </w:pPr>
    </w:p>
    <w:p>
      <w:pPr>
        <w:spacing w:beforeLines="100"/>
        <w:jc w:val="center"/>
      </w:pPr>
    </w:p>
    <w:p>
      <w:pPr>
        <w:spacing w:beforeLines="100"/>
        <w:jc w:val="center"/>
      </w:pPr>
    </w:p>
    <w:p>
      <w:pPr>
        <w:spacing w:beforeLines="100"/>
        <w:jc w:val="center"/>
      </w:pPr>
    </w:p>
    <w:tbl>
      <w:tblPr>
        <w:tblStyle w:val="6"/>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rFonts w:ascii="楷体_GB2312" w:eastAsia="楷体_GB2312"/>
                <w:sz w:val="30"/>
                <w:szCs w:val="30"/>
              </w:rPr>
            </w:pPr>
            <w:r>
              <w:rPr>
                <w:rFonts w:hint="eastAsia" w:ascii="楷体_GB2312" w:eastAsia="楷体_GB2312"/>
                <w:sz w:val="30"/>
                <w:szCs w:val="30"/>
              </w:rPr>
              <w:t>江西省教育厅</w:t>
            </w:r>
          </w:p>
        </w:tc>
        <w:tc>
          <w:tcPr>
            <w:tcW w:w="1260" w:type="dxa"/>
            <w:vMerge w:val="restart"/>
            <w:vAlign w:val="center"/>
          </w:tcPr>
          <w:p>
            <w:pPr>
              <w:adjustRightInd w:val="0"/>
              <w:snapToGrid w:val="0"/>
              <w:spacing w:line="480" w:lineRule="exact"/>
              <w:jc w:val="center"/>
              <w:rPr>
                <w:rFonts w:ascii="楷体_GB2312" w:eastAsia="楷体_GB2312"/>
                <w:sz w:val="30"/>
                <w:szCs w:val="30"/>
              </w:rPr>
            </w:pPr>
            <w:r>
              <w:rPr>
                <w:rFonts w:hint="eastAsia" w:ascii="楷体_GB2312" w:eastAsia="楷体_GB2312"/>
                <w:sz w:val="30"/>
                <w:szCs w:val="30"/>
              </w:rPr>
              <w:t>制表</w:t>
            </w:r>
          </w:p>
        </w:tc>
      </w:tr>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rFonts w:ascii="楷体_GB2312" w:eastAsia="楷体_GB2312"/>
                <w:sz w:val="30"/>
                <w:szCs w:val="30"/>
              </w:rPr>
            </w:pPr>
            <w:r>
              <w:rPr>
                <w:rFonts w:hint="eastAsia" w:ascii="楷体_GB2312" w:eastAsia="楷体_GB2312"/>
                <w:sz w:val="30"/>
                <w:szCs w:val="30"/>
              </w:rPr>
              <w:t>江西省科学技术厅</w:t>
            </w:r>
          </w:p>
          <w:p>
            <w:pPr>
              <w:adjustRightInd w:val="0"/>
              <w:snapToGrid w:val="0"/>
              <w:spacing w:line="480" w:lineRule="exact"/>
              <w:jc w:val="distribute"/>
              <w:rPr>
                <w:rFonts w:ascii="楷体_GB2312" w:eastAsia="楷体_GB2312"/>
                <w:sz w:val="30"/>
                <w:szCs w:val="30"/>
              </w:rPr>
            </w:pPr>
            <w:r>
              <w:rPr>
                <w:rFonts w:hint="eastAsia" w:ascii="楷体_GB2312" w:eastAsia="楷体_GB2312"/>
                <w:sz w:val="30"/>
                <w:szCs w:val="30"/>
              </w:rPr>
              <w:t>江西省工业和信息化厅</w:t>
            </w:r>
          </w:p>
        </w:tc>
        <w:tc>
          <w:tcPr>
            <w:tcW w:w="1260" w:type="dxa"/>
            <w:vMerge w:val="continue"/>
            <w:vAlign w:val="center"/>
          </w:tcPr>
          <w:p>
            <w:pPr>
              <w:widowControl/>
              <w:jc w:val="left"/>
              <w:rPr>
                <w:sz w:val="30"/>
                <w:szCs w:val="30"/>
              </w:rPr>
            </w:pPr>
          </w:p>
        </w:tc>
      </w:tr>
    </w:tbl>
    <w:p>
      <w:pPr>
        <w:widowControl/>
        <w:jc w:val="left"/>
        <w:rPr>
          <w:kern w:val="0"/>
          <w:szCs w:val="21"/>
        </w:rPr>
        <w:sectPr>
          <w:pgSz w:w="11906" w:h="16838"/>
          <w:pgMar w:top="2098" w:right="1588" w:bottom="1871" w:left="1588" w:header="851" w:footer="992" w:gutter="0"/>
          <w:cols w:space="720" w:num="1"/>
          <w:docGrid w:linePitch="312" w:charSpace="0"/>
        </w:sectPr>
      </w:pP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850"/>
        <w:gridCol w:w="136"/>
        <w:gridCol w:w="715"/>
        <w:gridCol w:w="1238"/>
        <w:gridCol w:w="305"/>
        <w:gridCol w:w="583"/>
        <w:gridCol w:w="567"/>
        <w:gridCol w:w="127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申请设站</w:t>
            </w:r>
          </w:p>
          <w:p>
            <w:pPr>
              <w:spacing w:line="360" w:lineRule="exact"/>
              <w:jc w:val="center"/>
              <w:rPr>
                <w:rFonts w:eastAsia="仿宋_GB2312"/>
                <w:sz w:val="24"/>
              </w:rPr>
            </w:pPr>
            <w:r>
              <w:rPr>
                <w:rFonts w:hint="eastAsia" w:eastAsia="仿宋_GB2312"/>
                <w:sz w:val="24"/>
              </w:rPr>
              <w:t>单位名称</w:t>
            </w:r>
          </w:p>
        </w:tc>
        <w:tc>
          <w:tcPr>
            <w:tcW w:w="7181"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江西省钨与稀土产品质量监督检验中心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19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专业技术人员或</w:t>
            </w:r>
          </w:p>
          <w:p>
            <w:pPr>
              <w:jc w:val="center"/>
              <w:rPr>
                <w:rFonts w:eastAsia="仿宋_GB2312"/>
                <w:sz w:val="24"/>
              </w:rPr>
            </w:pPr>
            <w:r>
              <w:rPr>
                <w:rFonts w:hint="eastAsia" w:eastAsia="仿宋_GB2312"/>
                <w:sz w:val="24"/>
              </w:rPr>
              <w:t>管理专家</w:t>
            </w:r>
            <w:r>
              <w:rPr>
                <w:rFonts w:eastAsia="仿宋_GB2312"/>
                <w:sz w:val="24"/>
              </w:rPr>
              <w:t>(</w:t>
            </w:r>
            <w:r>
              <w:rPr>
                <w:rFonts w:hint="eastAsia" w:eastAsia="仿宋_GB2312"/>
                <w:sz w:val="24"/>
              </w:rPr>
              <w:t>人</w:t>
            </w:r>
            <w:r>
              <w:rPr>
                <w:rFonts w:eastAsia="仿宋_GB2312"/>
                <w:sz w:val="24"/>
              </w:rPr>
              <w:t>)</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20</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其中</w:t>
            </w:r>
          </w:p>
        </w:tc>
        <w:tc>
          <w:tcPr>
            <w:tcW w:w="1238" w:type="dxa"/>
            <w:tcBorders>
              <w:top w:val="single" w:color="auto" w:sz="4" w:space="0"/>
              <w:left w:val="single" w:color="auto" w:sz="4" w:space="0"/>
              <w:right w:val="single" w:color="auto" w:sz="4" w:space="0"/>
            </w:tcBorders>
            <w:vAlign w:val="center"/>
          </w:tcPr>
          <w:p>
            <w:pPr>
              <w:ind w:left="12"/>
              <w:jc w:val="center"/>
              <w:rPr>
                <w:rFonts w:eastAsia="仿宋_GB2312"/>
                <w:sz w:val="24"/>
              </w:rPr>
            </w:pPr>
            <w:r>
              <w:rPr>
                <w:rFonts w:hint="eastAsia" w:eastAsia="仿宋_GB2312"/>
                <w:sz w:val="24"/>
              </w:rPr>
              <w:t>有国家级学术头衔的人员数</w:t>
            </w:r>
          </w:p>
        </w:tc>
        <w:tc>
          <w:tcPr>
            <w:tcW w:w="1455" w:type="dxa"/>
            <w:gridSpan w:val="3"/>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c>
          <w:tcPr>
            <w:tcW w:w="1276" w:type="dxa"/>
            <w:tcBorders>
              <w:top w:val="single" w:color="auto" w:sz="4" w:space="0"/>
              <w:left w:val="single" w:color="auto" w:sz="4" w:space="0"/>
              <w:right w:val="single" w:color="auto" w:sz="4" w:space="0"/>
            </w:tcBorders>
            <w:vAlign w:val="center"/>
          </w:tcPr>
          <w:p>
            <w:pPr>
              <w:ind w:left="12"/>
              <w:jc w:val="center"/>
              <w:rPr>
                <w:rFonts w:eastAsia="仿宋_GB2312"/>
                <w:sz w:val="24"/>
              </w:rPr>
            </w:pPr>
            <w:r>
              <w:rPr>
                <w:rFonts w:hint="eastAsia" w:eastAsia="仿宋_GB2312"/>
                <w:sz w:val="24"/>
              </w:rPr>
              <w:t>有省级学术头衔的人员数</w:t>
            </w:r>
          </w:p>
        </w:tc>
        <w:tc>
          <w:tcPr>
            <w:tcW w:w="1511" w:type="dxa"/>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0"/>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b/>
                <w:sz w:val="24"/>
              </w:rPr>
              <w:t>科学研究平台情况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平台名称</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平台类别、级别</w:t>
            </w:r>
          </w:p>
        </w:tc>
        <w:tc>
          <w:tcPr>
            <w:tcW w:w="242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批准单位</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1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rPr>
            </w:pPr>
            <w:r>
              <w:rPr>
                <w:rFonts w:hint="default" w:ascii="Times New Roman" w:hAnsi="Times New Roman" w:eastAsia="仿宋_GB2312" w:cs="Times New Roman"/>
                <w:sz w:val="24"/>
                <w:lang w:val="en-US" w:eastAsia="zh-CN"/>
              </w:rPr>
              <w:t>“赣州市稀土新材料及应用集群”促进机构</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rPr>
            </w:pPr>
            <w:r>
              <w:rPr>
                <w:rFonts w:hint="eastAsia" w:eastAsia="仿宋_GB2312"/>
                <w:sz w:val="24"/>
              </w:rPr>
              <w:t>国家级</w:t>
            </w:r>
          </w:p>
        </w:tc>
        <w:tc>
          <w:tcPr>
            <w:tcW w:w="24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rPr>
            </w:pPr>
            <w:r>
              <w:rPr>
                <w:rFonts w:hint="eastAsia" w:eastAsia="仿宋_GB2312"/>
                <w:sz w:val="24"/>
              </w:rPr>
              <w:t>工业和信息化部</w:t>
            </w:r>
          </w:p>
        </w:tc>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2021年度国家中小企业公共服务示范平台</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国家级</w:t>
            </w:r>
          </w:p>
        </w:tc>
        <w:tc>
          <w:tcPr>
            <w:tcW w:w="242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工业和信息化部中小企业局</w:t>
            </w:r>
          </w:p>
        </w:tc>
        <w:tc>
          <w:tcPr>
            <w:tcW w:w="15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2021.10.09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第三批产业技术基础公共服务平台（部省共建）</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国家级</w:t>
            </w:r>
          </w:p>
        </w:tc>
        <w:tc>
          <w:tcPr>
            <w:tcW w:w="242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工业和信息化部</w:t>
            </w:r>
          </w:p>
        </w:tc>
        <w:tc>
          <w:tcPr>
            <w:tcW w:w="15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2019.01.21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钨与稀土采冶及深加工技术国家地方联合工程研究中心</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国家级</w:t>
            </w:r>
          </w:p>
        </w:tc>
        <w:tc>
          <w:tcPr>
            <w:tcW w:w="242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国家发展和改革委员会</w:t>
            </w:r>
          </w:p>
        </w:tc>
        <w:tc>
          <w:tcPr>
            <w:tcW w:w="15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2011.11.08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1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2019年度江西省新型研发机构</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省级</w:t>
            </w:r>
          </w:p>
        </w:tc>
        <w:tc>
          <w:tcPr>
            <w:tcW w:w="242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江西省科学技术厅</w:t>
            </w:r>
          </w:p>
        </w:tc>
        <w:tc>
          <w:tcPr>
            <w:tcW w:w="15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1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国家技术标准创新基地（江西绿色生态稀土中心）</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省级</w:t>
            </w:r>
          </w:p>
        </w:tc>
        <w:tc>
          <w:tcPr>
            <w:tcW w:w="242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江西省标准化研究院</w:t>
            </w:r>
          </w:p>
        </w:tc>
        <w:tc>
          <w:tcPr>
            <w:tcW w:w="15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2018.12.21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1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2016年度江西省技术转移示范机构</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省级</w:t>
            </w:r>
          </w:p>
        </w:tc>
        <w:tc>
          <w:tcPr>
            <w:tcW w:w="242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江西省科学技术厅</w:t>
            </w:r>
          </w:p>
        </w:tc>
        <w:tc>
          <w:tcPr>
            <w:tcW w:w="15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2016.12.28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1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江西省稀土标准化技术委员会</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省级</w:t>
            </w:r>
          </w:p>
        </w:tc>
        <w:tc>
          <w:tcPr>
            <w:tcW w:w="242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江西省质量技术监督局</w:t>
            </w:r>
          </w:p>
        </w:tc>
        <w:tc>
          <w:tcPr>
            <w:tcW w:w="15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2011.05.06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0"/>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eastAsia="仿宋_GB2312"/>
                <w:sz w:val="24"/>
              </w:rPr>
              <w:t>设站单位与高校的合作情况（分条目列出，限</w:t>
            </w:r>
            <w:r>
              <w:rPr>
                <w:rFonts w:eastAsia="仿宋_GB2312"/>
                <w:sz w:val="24"/>
              </w:rPr>
              <w:t>1000</w:t>
            </w:r>
            <w:r>
              <w:rPr>
                <w:rFonts w:hint="eastAsia" w:eastAsia="仿宋_GB2312"/>
                <w:sz w:val="24"/>
              </w:rPr>
              <w:t>字以内。其中，联合承担的纵向和横向项目或成果限填具有代表性的</w:t>
            </w:r>
            <w:r>
              <w:rPr>
                <w:rFonts w:eastAsia="仿宋_GB2312"/>
                <w:sz w:val="24"/>
              </w:rPr>
              <w:t>3</w:t>
            </w:r>
            <w:r>
              <w:rPr>
                <w:rFonts w:hint="eastAsia" w:eastAsia="仿宋_GB2312"/>
                <w:sz w:val="24"/>
              </w:rPr>
              <w:t>项，需填写项目名称、批准单位、获批时间、项目内容、取得的成果等内容，并提供证明材料）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9375" w:type="dxa"/>
            <w:gridSpan w:val="10"/>
            <w:tcBorders>
              <w:top w:val="single" w:color="auto" w:sz="4" w:space="0"/>
              <w:left w:val="single" w:color="auto" w:sz="4" w:space="0"/>
              <w:bottom w:val="single" w:color="auto" w:sz="4" w:space="0"/>
              <w:right w:val="single" w:color="auto" w:sz="4" w:space="0"/>
            </w:tcBorders>
          </w:tcPr>
          <w:p>
            <w:pPr>
              <w:rPr>
                <w:rFonts w:eastAsia="仿宋_GB2312"/>
                <w:sz w:val="24"/>
              </w:rPr>
            </w:pPr>
            <w:r>
              <w:rPr>
                <w:rFonts w:hint="eastAsia" w:eastAsia="仿宋_GB2312"/>
                <w:sz w:val="24"/>
              </w:rPr>
              <w:t>与江西理工大学合作情况：</w:t>
            </w:r>
          </w:p>
          <w:p>
            <w:pPr>
              <w:spacing w:beforeLines="50"/>
              <w:rPr>
                <w:rFonts w:eastAsia="仿宋_GB2312"/>
                <w:sz w:val="24"/>
              </w:rPr>
            </w:pPr>
            <w:r>
              <w:rPr>
                <w:rFonts w:hint="eastAsia" w:eastAsia="仿宋_GB2312"/>
                <w:sz w:val="24"/>
              </w:rPr>
              <w:t>1、“高品质稀土钢制造关键技术研发及产业化”，批准单位：江西省科学技术厅；获批时间：2019年；项目内容：针对当前其他痕量稀土元素对高纯稀土材料最终产品性能产生的影响，为控制稀土及其氧化物中的其他稀土杂质，本项目着力研究优化高纯稀土氧化物中其他稀土杂质的检测手段，</w:t>
            </w:r>
            <w:r>
              <w:rPr>
                <w:rFonts w:eastAsia="仿宋_GB2312"/>
                <w:sz w:val="24"/>
              </w:rPr>
              <w:t>采用三重串联电感耦合等离子体质谱（ICP-MS/MS）直接测定高纯</w:t>
            </w:r>
            <w:r>
              <w:rPr>
                <w:rFonts w:hint="eastAsia" w:eastAsia="仿宋_GB2312"/>
                <w:sz w:val="24"/>
              </w:rPr>
              <w:t>稀土氧化物</w:t>
            </w:r>
            <w:r>
              <w:rPr>
                <w:rFonts w:eastAsia="仿宋_GB2312"/>
                <w:sz w:val="24"/>
              </w:rPr>
              <w:t>中</w:t>
            </w:r>
            <w:r>
              <w:rPr>
                <w:rFonts w:hint="eastAsia" w:eastAsia="仿宋_GB2312"/>
                <w:sz w:val="24"/>
              </w:rPr>
              <w:t>另外</w:t>
            </w:r>
            <w:r>
              <w:rPr>
                <w:rFonts w:eastAsia="仿宋_GB2312"/>
                <w:sz w:val="24"/>
              </w:rPr>
              <w:t>14种稀土杂质元素</w:t>
            </w:r>
            <w:r>
              <w:rPr>
                <w:rFonts w:hint="eastAsia" w:eastAsia="仿宋_GB2312"/>
                <w:sz w:val="24"/>
              </w:rPr>
              <w:t>，科研团队按项目计划任务书完成科研任务，并获得授权国家发明专利1项、制定国家标准5项、制定技术规范1项。</w:t>
            </w:r>
          </w:p>
          <w:p>
            <w:pPr>
              <w:spacing w:beforeLines="50"/>
              <w:rPr>
                <w:rFonts w:eastAsia="仿宋_GB2312"/>
                <w:sz w:val="24"/>
              </w:rPr>
            </w:pPr>
            <w:r>
              <w:rPr>
                <w:rFonts w:eastAsia="仿宋_GB2312"/>
                <w:sz w:val="24"/>
              </w:rPr>
              <w:t>2</w:t>
            </w:r>
            <w:r>
              <w:rPr>
                <w:rFonts w:hint="eastAsia" w:eastAsia="仿宋_GB2312"/>
                <w:sz w:val="24"/>
              </w:rPr>
              <w:t>、“高性能W-Cu复合材料制备及产业化研究”，批准单位：赣州市科学技术厅；获批时间：2018年；项目内容：本项目从球磨制粉工艺、</w:t>
            </w:r>
            <w:bookmarkStart w:id="0" w:name="_GoBack"/>
            <w:bookmarkEnd w:id="0"/>
            <w:r>
              <w:rPr>
                <w:rFonts w:hint="eastAsia" w:eastAsia="仿宋_GB2312"/>
                <w:sz w:val="24"/>
              </w:rPr>
              <w:t>V型混料工艺、不同添加元素种类及含量、不同粒度W粉、粘接剂的比例、不同粘接剂类型、不同烧结温度控制、不同保温时间控制等方面对W-</w:t>
            </w:r>
            <w:r>
              <w:rPr>
                <w:rFonts w:eastAsia="仿宋_GB2312"/>
                <w:sz w:val="24"/>
              </w:rPr>
              <w:t>C</w:t>
            </w:r>
            <w:r>
              <w:rPr>
                <w:rFonts w:hint="eastAsia" w:eastAsia="仿宋_GB2312"/>
                <w:sz w:val="24"/>
              </w:rPr>
              <w:t>u复合材料的制备展开研究，申请了国家发明专利2项，在国外期刊发表科技论文2篇，并培养了硕士研究生1名，与合作单位签订成果转化合作协议，积极推动高性能W-</w:t>
            </w:r>
            <w:r>
              <w:rPr>
                <w:rFonts w:eastAsia="仿宋_GB2312"/>
                <w:sz w:val="24"/>
              </w:rPr>
              <w:t>C</w:t>
            </w:r>
            <w:r>
              <w:rPr>
                <w:rFonts w:hint="eastAsia" w:eastAsia="仿宋_GB2312"/>
                <w:sz w:val="24"/>
              </w:rPr>
              <w:t>u复合材料的中试孵化及产业化，拓展了赣南地区钨产业的应用，填补了江西省在该领域的空白。</w:t>
            </w:r>
          </w:p>
          <w:p>
            <w:pPr>
              <w:spacing w:beforeLines="50"/>
              <w:rPr>
                <w:rFonts w:eastAsia="仿宋_GB2312"/>
                <w:sz w:val="24"/>
              </w:rPr>
            </w:pPr>
            <w:r>
              <w:rPr>
                <w:rFonts w:hint="eastAsia" w:eastAsia="仿宋_GB2312"/>
                <w:sz w:val="24"/>
              </w:rPr>
              <w:t>3、为了贯彻落实党的二十大精神，深入实施人才强国战略，培养造就大批德才兼备的高素质人才，11月1日，中心与江西理工大学材料冶金化学学部共建实践教学基地签约暨挂牌仪式顺利举行。中心主任蒋小岗、副主任李平，江西理工大学材料冶金化学学部党委书记陈火平、副部长汪志刚、副院长刘遂军等出席活动。此次合作共建实践教学基地签约暨挂牌仪式的成功举行，标志着中心和江西理工大学在人才培养领域的合作迈入了一个崭新的阶段。双方将不断拓宽合作领域，创新合作方式，充分整合利用各自的资源和优势，共同推动工作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0"/>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9" w:hRule="atLeast"/>
          <w:jc w:val="center"/>
        </w:trPr>
        <w:tc>
          <w:tcPr>
            <w:tcW w:w="9375" w:type="dxa"/>
            <w:gridSpan w:val="10"/>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1.</w:t>
            </w:r>
            <w:r>
              <w:rPr>
                <w:rFonts w:hint="eastAsia" w:eastAsia="仿宋_GB2312"/>
                <w:sz w:val="24"/>
              </w:rPr>
              <w:t>人员保障条件（包括能指导研究生科研创新实践的专业技术或管理专家等情况）</w:t>
            </w:r>
          </w:p>
          <w:p>
            <w:pPr>
              <w:spacing w:beforeLines="50"/>
              <w:ind w:firstLine="480" w:firstLineChars="200"/>
              <w:rPr>
                <w:rFonts w:eastAsia="仿宋_GB2312"/>
                <w:sz w:val="24"/>
              </w:rPr>
            </w:pPr>
            <w:r>
              <w:rPr>
                <w:rFonts w:hint="eastAsia" w:eastAsia="仿宋_GB2312"/>
                <w:sz w:val="24"/>
              </w:rPr>
              <w:t>李平，男，1972年2月出生，硕士研究生，高级工程师，任江西省钨与稀土产品质量监督检验中心副主任，担任江西省稀土标准化技术委员会主任委员、中国稀土学会理事和全国稀土标准化技术委员会委员。从事标准化工作28年，参与制定了我国首个稀土国际标准，作为主要起草人，主导完成了1个国家标准和2个行业标准制定，参与起草验证国家、行业标准15项，获全国稀标委优秀标准奖、中国有色金属工业科学技术奖等9项，获评全国稀土标委会先进工作者荣誉2次，主持建设了国家技术标准创新基地（江西绿色生态）稀土分中心；作为负责人之一，开展了江西省重大科技专项《高品质稀土钢关键技术研发与产业化》项目的检测标准研发工作；作为项目负责人主持开展了省科技厅重点研发项目《重要产品稀土产品追溯体系建设与实施指南》地方标准研制工作，开展省级、市级科研课题（项目）9项；在核心期刊发表论文 5 篇，省级期刊发表论文3篇，获得国家发明专利授权3项。</w:t>
            </w:r>
          </w:p>
          <w:p>
            <w:pPr>
              <w:spacing w:beforeLines="50"/>
              <w:ind w:firstLine="480" w:firstLineChars="200"/>
              <w:rPr>
                <w:rFonts w:eastAsia="仿宋_GB2312"/>
                <w:sz w:val="24"/>
              </w:rPr>
            </w:pPr>
            <w:r>
              <w:rPr>
                <w:rFonts w:hint="eastAsia" w:eastAsia="仿宋_GB2312"/>
                <w:sz w:val="24"/>
              </w:rPr>
              <w:t>李亚军，男，1977年生，博士研究生，毕业于中国科学院上海技术物理研究所，2018年引进的江西省D级人才，现任国家钨与稀土产品质量检验检测中心副总工程师，主要在超细钨粉碳化钨粉、钨铜合金、银钨合金、硬质合金、钨新材料等方向开展新产品、新工艺和新装备研发和产业化。在国内/国际期刊上发表学术论文6篇，申请专利5项，参与国标/行标制定3项，主持、参与省部级、市级项目8项。</w:t>
            </w:r>
          </w:p>
          <w:p>
            <w:pPr>
              <w:spacing w:beforeLines="50"/>
              <w:ind w:firstLine="480" w:firstLineChars="200"/>
              <w:rPr>
                <w:rFonts w:eastAsia="仿宋_GB2312"/>
                <w:sz w:val="24"/>
              </w:rPr>
            </w:pPr>
            <w:r>
              <w:rPr>
                <w:rFonts w:hint="eastAsia" w:eastAsia="仿宋_GB2312"/>
                <w:sz w:val="24"/>
              </w:rPr>
              <w:t>夏侯斌</w:t>
            </w:r>
            <w:r>
              <w:rPr>
                <w:rFonts w:eastAsia="仿宋_GB2312"/>
                <w:sz w:val="24"/>
              </w:rPr>
              <w:t>，</w:t>
            </w:r>
            <w:r>
              <w:rPr>
                <w:rFonts w:hint="eastAsia" w:eastAsia="仿宋_GB2312"/>
                <w:sz w:val="24"/>
              </w:rPr>
              <w:t>男，1981年生，硕士研究生，高级工程师，毕业于昆明理工大学冶金与能源学院。曾在多家上市大型冶金企业就职担任技术员、工序长等职务，现主要从事有色金属冶金，钨、锡、稀土等二次资源综合回收利用，永磁材料磁性能分析检查和材料测试评价研究，发表学术论文10篇，其中以第一作者发表学术论文7篇，获得授权发明/实用新型专利8项，其中以第一发明获授权发明专利4项，授权实用新型专利1项，参与稀土行业标准2项，正在主导制订国家标准1项、地方标准1项，主持赣州市/江西省市场监管局科技项目6项。</w:t>
            </w:r>
          </w:p>
          <w:p>
            <w:pPr>
              <w:spacing w:beforeLines="50"/>
              <w:ind w:firstLine="480" w:firstLineChars="200"/>
              <w:rPr>
                <w:rFonts w:eastAsia="仿宋_GB2312"/>
                <w:sz w:val="24"/>
              </w:rPr>
            </w:pPr>
            <w:r>
              <w:rPr>
                <w:rFonts w:hint="eastAsia" w:eastAsia="仿宋_GB2312"/>
                <w:sz w:val="24"/>
              </w:rPr>
              <w:t>刘道斌，男，1983年生，硕士研究生，高级工程师，毕业于江西理工大学材料与化学工程学院。现任江西省钨与稀土产品质量监督检验中心（江西省钨与稀土研究院）办公室主任。主要从事冶金工艺、有色分析、绿色制造及双碳等方面研究。在国内/国际期刊上发表学术论文9篇，获得发明专利1项，参与国标/行标制定12项、地方标准制定6项，主持省部级项目1项。</w:t>
            </w:r>
          </w:p>
          <w:p>
            <w:pPr>
              <w:adjustRightInd w:val="0"/>
              <w:snapToGrid w:val="0"/>
              <w:spacing w:beforeLines="50"/>
              <w:ind w:firstLine="480" w:firstLineChars="200"/>
              <w:rPr>
                <w:rFonts w:eastAsia="仿宋_GB2312"/>
                <w:sz w:val="24"/>
              </w:rPr>
            </w:pPr>
            <w:r>
              <w:rPr>
                <w:rFonts w:hint="eastAsia" w:eastAsia="仿宋_GB2312"/>
                <w:sz w:val="24"/>
              </w:rPr>
              <w:t>卢博</w:t>
            </w:r>
            <w:r>
              <w:rPr>
                <w:rFonts w:hint="eastAsia" w:eastAsia="仿宋_GB2312"/>
                <w:color w:val="000000"/>
                <w:sz w:val="28"/>
                <w:szCs w:val="28"/>
              </w:rPr>
              <w:t>，</w:t>
            </w:r>
            <w:r>
              <w:rPr>
                <w:rFonts w:hint="eastAsia" w:eastAsia="仿宋_GB2312"/>
                <w:sz w:val="24"/>
              </w:rPr>
              <w:t>男，1985年11月生，硕士研究生，高级工程师，毕业于江西理工大学有色金属冶金专业，现任国家钨与稀土产品质检中心稀标办负责人，江西省稀土标准化技术委员会秘书长，从事稀土冶金相关技术研发、标准化等工作，在国内核心及其他期刊发表论文7篇，参与完成了国家自然科学基金1项、江西省科技厅项目2项、赣州市科技项目4项、标准制定项目4项，获发明专利2项。</w:t>
            </w:r>
          </w:p>
          <w:p>
            <w:pPr>
              <w:spacing w:beforeLines="50"/>
              <w:ind w:firstLine="480" w:firstLineChars="200"/>
              <w:rPr>
                <w:rFonts w:eastAsia="仿宋_GB2312"/>
                <w:sz w:val="24"/>
              </w:rPr>
            </w:pPr>
            <w:r>
              <w:rPr>
                <w:rFonts w:hint="eastAsia" w:eastAsia="仿宋_GB2312"/>
                <w:sz w:val="24"/>
              </w:rPr>
              <w:t>徐娜，女，1987年生，高级工程师，毕业于浙江工业大学应用化学专业，现任国家钨与稀土产品质量检验检测中心技术负责人、检测部部长。主要研究稀土、钨有色检验检测方法研究及标准化。参与稀土国际标准2项；主导制订国家标准5项，参与国家、行业标准12项，多次获得全国稀土行业技术标准优秀奖。主持及参与10项工业和信息化部材料工业司、省市场监督管理局（科技、技改）及赣州市科技局重点研发项目。发表核心期刊9篇。现任稀土国际标准委员会ISO/TC298 WG4 注册专家，第三届、第二届江西省稀土标准化技术委员会委员；中国稀土学会第六届、第七届理化检验委员会委员。</w:t>
            </w:r>
          </w:p>
          <w:p>
            <w:pPr>
              <w:spacing w:beforeLines="50"/>
              <w:ind w:firstLine="480" w:firstLineChars="200"/>
              <w:rPr>
                <w:rFonts w:eastAsia="仿宋_GB2312"/>
                <w:sz w:val="24"/>
              </w:rPr>
            </w:pPr>
            <w:r>
              <w:rPr>
                <w:rFonts w:hint="eastAsia" w:eastAsia="仿宋_GB2312"/>
                <w:sz w:val="24"/>
              </w:rPr>
              <w:t>刘宜强，男，1980年生，高级工程师，</w:t>
            </w:r>
            <w:r>
              <w:rPr>
                <w:rFonts w:hint="eastAsia" w:eastAsia="仿宋_GB2312"/>
                <w:sz w:val="24"/>
                <w:lang w:val="zh-CN"/>
              </w:rPr>
              <w:t>目前在江西省钨与稀土研究院（国家钨与稀土产品质量检验检测中心）高新区分支机构负责钨与稀土新材料的检测、研发和中试孵化工作。主持或参与国家自然基金项目3项，江西省科技厅重大专项1项，国家市场监管总局科技项目2项，江西省市场监管局科技项目5项，赣州市科技项目5项，获得专利授权3项，发表科技论文10篇。主持或参与申请国家发改委、国家工信部、省财政厅等公共服务平台专项建设项目10余项，共争取到专项建设资金5000余万元。2014年负责建设了国检中心物理性能检测实验室，并获得了相关检测资质，填补了赣州市物性检测空白；2018年以来，开始负责国检中心高新区分支机构建设，围绕“中国稀金谷”建设发展需求，建设了稀金新材料检测、研发和中试孵化生产线，并汇聚了一批省内外专业技术人才，为赣州稀金新材料产业发展搭建好了公共技术服务平台。近年来，为国检中心争取到“国家中小企业公共服务示范平台”、“工信部产业技术基础公共服务平台”、“江西省技术转移示范机构”和“江西省新型研发机构”等多个荣誉称号。</w:t>
            </w:r>
          </w:p>
          <w:p>
            <w:pPr>
              <w:spacing w:beforeLines="50"/>
              <w:ind w:firstLine="480" w:firstLineChars="200"/>
              <w:rPr>
                <w:rFonts w:ascii="宋体" w:hAnsi="宋体"/>
                <w:sz w:val="28"/>
                <w:szCs w:val="28"/>
              </w:rPr>
            </w:pPr>
            <w:r>
              <w:rPr>
                <w:rFonts w:hint="eastAsia" w:eastAsia="仿宋_GB2312"/>
                <w:sz w:val="24"/>
              </w:rPr>
              <w:t>邓攀，男，1988年生，在读博士研究生，高级工程师，毕业于江西理工大学材料冶金化学学部。现就职于江西省钨与稀土产品质量监督检验中心（江西省钨与稀土研究院）研发部，主要从事二次资源综合回收利用，有色金属冶炼与加工等相关研究，发表国外sci论文两篇，国内核心期刊10余篇，获得发明专利6项，主持市级项目5项，参与国家级项目三项，省部级项目三项，江西省科技重大专项两项。</w:t>
            </w:r>
          </w:p>
          <w:p>
            <w:pPr>
              <w:rPr>
                <w:rFonts w:eastAsia="仿宋_GB2312"/>
                <w:sz w:val="24"/>
              </w:rPr>
            </w:pPr>
          </w:p>
          <w:p>
            <w:pPr>
              <w:rPr>
                <w:rFonts w:eastAsia="仿宋_GB2312"/>
                <w:sz w:val="24"/>
              </w:rPr>
            </w:pPr>
            <w:r>
              <w:rPr>
                <w:rFonts w:eastAsia="仿宋_GB2312"/>
                <w:sz w:val="24"/>
              </w:rPr>
              <w:t>2.</w:t>
            </w:r>
            <w:r>
              <w:rPr>
                <w:rFonts w:hint="eastAsia" w:eastAsia="仿宋_GB2312"/>
                <w:sz w:val="24"/>
              </w:rPr>
              <w:t>工作保障条件（如科研设施、实践场地等情况）</w:t>
            </w:r>
          </w:p>
          <w:p>
            <w:pPr>
              <w:ind w:firstLine="480" w:firstLineChars="200"/>
              <w:rPr>
                <w:rFonts w:eastAsia="仿宋_GB2312"/>
                <w:sz w:val="24"/>
              </w:rPr>
            </w:pPr>
            <w:r>
              <w:rPr>
                <w:rFonts w:hint="eastAsia" w:eastAsia="仿宋_GB2312"/>
                <w:sz w:val="24"/>
              </w:rPr>
              <w:t>中心共有两个实验基地，拥有一批先进的检测研发设备，组建了新材料检测与研发实验室和成果转化中心。</w:t>
            </w:r>
          </w:p>
          <w:p>
            <w:pPr>
              <w:rPr>
                <w:rFonts w:eastAsia="仿宋_GB2312"/>
                <w:sz w:val="24"/>
              </w:rPr>
            </w:pPr>
            <w:r>
              <w:rPr>
                <w:rFonts w:hint="eastAsia" w:eastAsia="仿宋_GB2312"/>
                <w:sz w:val="24"/>
              </w:rPr>
              <w:t>1）实验室场地建设：两个检测研发实验基地分别设在赣州经开区本部和赣州高新区，实验室与办公用房面积1.3万平方米，主要仪器设备总值达到5000多万，满足新材料检测、研发和成果转化中试生产等技术活动开展的场地要求。</w:t>
            </w:r>
          </w:p>
          <w:p>
            <w:pPr>
              <w:rPr>
                <w:rFonts w:eastAsia="仿宋_GB2312" w:asciiTheme="minorHAnsi" w:hAnsiTheme="minorHAnsi" w:cstheme="minorBidi"/>
                <w:kern w:val="0"/>
                <w:sz w:val="24"/>
              </w:rPr>
            </w:pPr>
            <w:r>
              <w:rPr>
                <w:rFonts w:hint="eastAsia" w:eastAsia="仿宋_GB2312"/>
                <w:sz w:val="24"/>
              </w:rPr>
              <w:t>2）主要仪器设备：</w:t>
            </w:r>
            <w:r>
              <w:rPr>
                <w:rFonts w:eastAsia="仿宋_GB2312" w:asciiTheme="minorHAnsi" w:hAnsiTheme="minorHAnsi" w:cstheme="minorBidi"/>
                <w:kern w:val="0"/>
                <w:sz w:val="24"/>
                <w:lang w:val="zh-CN"/>
              </w:rPr>
              <w:t>辉光放电质谱仪、纳米激光粒度仪、ICP-Mass等离子体质谱仪、ICP原子发射光谱仪、氧氮分析仪、热质联用系统、超高矫顽力永磁测量仪、压力烧结炉等</w:t>
            </w:r>
          </w:p>
          <w:p>
            <w:pPr>
              <w:rPr>
                <w:rFonts w:eastAsia="仿宋_GB2312"/>
                <w:sz w:val="24"/>
              </w:rPr>
            </w:pPr>
            <w:r>
              <w:rPr>
                <w:rFonts w:hint="eastAsia" w:eastAsia="仿宋_GB2312"/>
                <w:sz w:val="24"/>
              </w:rPr>
              <w:t>3）专业实验室：中心组建了新材料检测实验室、新材料研发实验室和成果转化中试线。其中检测实验室包含理化分析室、物理性能检测室、高纯产品检测室、超细纳米材料检测室、硬质合金材料检测室、稀土永磁材料磁性能检测室等六个检测实验室，检测内容</w:t>
            </w:r>
            <w:r>
              <w:rPr>
                <w:rFonts w:eastAsia="仿宋_GB2312"/>
                <w:kern w:val="0"/>
                <w:sz w:val="24"/>
                <w:lang w:val="zh-CN"/>
              </w:rPr>
              <w:t>测内容实现了钨、稀土及有色金属新材料产业从原材料到应用产品的成分、性能测试的全覆盖</w:t>
            </w:r>
            <w:r>
              <w:rPr>
                <w:rFonts w:hint="eastAsia" w:eastAsia="仿宋_GB2312"/>
                <w:kern w:val="0"/>
                <w:sz w:val="24"/>
                <w:lang w:val="zh-CN"/>
              </w:rPr>
              <w:t>；新材料研发实验室包含</w:t>
            </w:r>
            <w:r>
              <w:rPr>
                <w:rFonts w:eastAsia="仿宋_GB2312"/>
                <w:kern w:val="0"/>
                <w:sz w:val="24"/>
                <w:lang w:val="zh-CN"/>
              </w:rPr>
              <w:t>与中国科学院金属研究所共建稀土新材料研究与应用实验室</w:t>
            </w:r>
            <w:r>
              <w:rPr>
                <w:rFonts w:hint="eastAsia" w:eastAsia="仿宋_GB2312"/>
                <w:kern w:val="0"/>
                <w:sz w:val="24"/>
                <w:lang w:val="zh-CN"/>
              </w:rPr>
              <w:t>、</w:t>
            </w:r>
            <w:r>
              <w:rPr>
                <w:rFonts w:eastAsia="仿宋_GB2312"/>
                <w:kern w:val="0"/>
                <w:sz w:val="24"/>
                <w:lang w:val="zh-CN"/>
              </w:rPr>
              <w:t>与东华理工大学共建质谱科学与仪器国际联合研究中心赣州分中心</w:t>
            </w:r>
            <w:r>
              <w:rPr>
                <w:rFonts w:hint="eastAsia" w:eastAsia="仿宋_GB2312"/>
                <w:kern w:val="0"/>
                <w:sz w:val="24"/>
                <w:lang w:val="zh-CN"/>
              </w:rPr>
              <w:t>、</w:t>
            </w:r>
            <w:r>
              <w:rPr>
                <w:rFonts w:eastAsia="仿宋_GB2312"/>
                <w:kern w:val="0"/>
                <w:sz w:val="24"/>
                <w:lang w:val="zh-CN"/>
              </w:rPr>
              <w:t>与中南大学共建江西省难熔材料与硬质材料研发中心</w:t>
            </w:r>
            <w:r>
              <w:rPr>
                <w:rFonts w:hint="eastAsia" w:eastAsia="仿宋_GB2312"/>
                <w:kern w:val="0"/>
                <w:sz w:val="24"/>
                <w:lang w:val="zh-CN"/>
              </w:rPr>
              <w:t>，</w:t>
            </w:r>
            <w:r>
              <w:rPr>
                <w:rFonts w:eastAsia="仿宋_GB2312"/>
                <w:kern w:val="0"/>
                <w:sz w:val="24"/>
                <w:lang w:val="zh-CN"/>
              </w:rPr>
              <w:t>与企业共建</w:t>
            </w:r>
            <w:r>
              <w:rPr>
                <w:rFonts w:hint="eastAsia" w:eastAsia="仿宋_GB2312"/>
                <w:kern w:val="0"/>
                <w:sz w:val="24"/>
                <w:lang w:val="zh-CN"/>
              </w:rPr>
              <w:t>的</w:t>
            </w:r>
            <w:r>
              <w:rPr>
                <w:rFonts w:eastAsia="仿宋_GB2312"/>
                <w:kern w:val="0"/>
                <w:sz w:val="24"/>
                <w:lang w:val="zh-CN"/>
              </w:rPr>
              <w:t>二次资源综合回收利用实验室、</w:t>
            </w:r>
            <w:r>
              <w:rPr>
                <w:rFonts w:hint="eastAsia" w:eastAsia="仿宋_GB2312"/>
                <w:kern w:val="0"/>
                <w:sz w:val="24"/>
                <w:lang w:val="zh-CN"/>
              </w:rPr>
              <w:t>和</w:t>
            </w:r>
            <w:r>
              <w:rPr>
                <w:rFonts w:eastAsia="仿宋_GB2312"/>
                <w:kern w:val="0"/>
                <w:sz w:val="24"/>
                <w:lang w:val="zh-CN"/>
              </w:rPr>
              <w:t>超细纳米材料研发实验室等</w:t>
            </w:r>
            <w:r>
              <w:rPr>
                <w:rFonts w:hint="eastAsia" w:eastAsia="仿宋_GB2312"/>
                <w:kern w:val="0"/>
                <w:sz w:val="24"/>
                <w:lang w:val="zh-CN"/>
              </w:rPr>
              <w:t>5</w:t>
            </w:r>
            <w:r>
              <w:rPr>
                <w:rFonts w:eastAsia="仿宋_GB2312"/>
                <w:kern w:val="0"/>
                <w:sz w:val="24"/>
                <w:lang w:val="zh-CN"/>
              </w:rPr>
              <w:t>个实验室</w:t>
            </w:r>
            <w:r>
              <w:rPr>
                <w:rFonts w:hint="eastAsia" w:eastAsia="仿宋_GB2312"/>
                <w:kern w:val="0"/>
                <w:sz w:val="24"/>
                <w:lang w:val="zh-CN"/>
              </w:rPr>
              <w:t>，实现实验室仪器设备、技术人才等技术资源的共享；成果转化中试线按照现代化标砖厂房建设要求打造一条粉末冶金成果转化示范中试线，开展钨、稀土粉末冶金产品中试实验、成果孵化、中试生产、技术成果转移等技术活动。</w:t>
            </w:r>
          </w:p>
          <w:p>
            <w:pPr>
              <w:rPr>
                <w:rFonts w:eastAsia="仿宋_GB2312"/>
                <w:sz w:val="24"/>
              </w:rPr>
            </w:pPr>
          </w:p>
          <w:p>
            <w:pPr>
              <w:rPr>
                <w:rFonts w:eastAsia="仿宋_GB2312"/>
                <w:sz w:val="24"/>
              </w:rPr>
            </w:pPr>
            <w:r>
              <w:rPr>
                <w:rFonts w:eastAsia="仿宋_GB2312"/>
                <w:sz w:val="24"/>
              </w:rPr>
              <w:t>3.</w:t>
            </w:r>
            <w:r>
              <w:rPr>
                <w:rFonts w:hint="eastAsia" w:eastAsia="仿宋_GB2312"/>
                <w:sz w:val="24"/>
              </w:rPr>
              <w:t>生活保障条件（包括为进站研究生提供生活、交通、通讯等补助及食宿条件等情况）</w:t>
            </w:r>
          </w:p>
          <w:p>
            <w:pPr>
              <w:rPr>
                <w:rFonts w:eastAsia="仿宋_GB2312"/>
                <w:sz w:val="24"/>
              </w:rPr>
            </w:pPr>
            <w:r>
              <w:rPr>
                <w:rFonts w:hint="eastAsia" w:eastAsia="仿宋_GB2312"/>
                <w:sz w:val="24"/>
              </w:rPr>
              <w:t>1）住宿：在本地无住房人员包住（双人间，配有独立卫生间、空调、洗衣机、衣柜、床、写字台等）</w:t>
            </w:r>
          </w:p>
          <w:p>
            <w:pPr>
              <w:rPr>
                <w:rFonts w:eastAsia="仿宋_GB2312"/>
                <w:sz w:val="24"/>
              </w:rPr>
            </w:pPr>
            <w:r>
              <w:rPr>
                <w:rFonts w:hint="eastAsia" w:eastAsia="仿宋_GB2312"/>
                <w:sz w:val="24"/>
              </w:rPr>
              <w:t>2）伙食：单位福利食堂，每月饭卡充值500元；</w:t>
            </w:r>
          </w:p>
          <w:p>
            <w:pPr>
              <w:rPr>
                <w:rFonts w:eastAsia="仿宋_GB2312"/>
                <w:sz w:val="24"/>
              </w:rPr>
            </w:pPr>
            <w:r>
              <w:rPr>
                <w:rFonts w:hint="eastAsia" w:eastAsia="仿宋_GB2312"/>
                <w:sz w:val="24"/>
              </w:rPr>
              <w:t>生活补助标准：硕士研究生：1000元/月；博士研究生：1500元/月，单位承诺每月生活补助准时发放；</w:t>
            </w:r>
          </w:p>
          <w:p>
            <w:pPr>
              <w:rPr>
                <w:rFonts w:eastAsia="仿宋_GB2312"/>
                <w:sz w:val="24"/>
              </w:rPr>
            </w:pPr>
            <w:r>
              <w:rPr>
                <w:rFonts w:hint="eastAsia" w:eastAsia="仿宋_GB2312"/>
                <w:sz w:val="24"/>
              </w:rPr>
              <w:t>3）业余生活：配有健身房、瑜伽室、阅览室，羽毛球、乒乓球等场地。</w:t>
            </w:r>
          </w:p>
          <w:p>
            <w:pPr>
              <w:rPr>
                <w:rFonts w:eastAsia="仿宋_GB2312"/>
                <w:sz w:val="24"/>
              </w:rPr>
            </w:pPr>
          </w:p>
          <w:p>
            <w:pPr>
              <w:rPr>
                <w:rFonts w:eastAsia="仿宋_GB2312"/>
                <w:sz w:val="24"/>
              </w:rPr>
            </w:pPr>
            <w:r>
              <w:rPr>
                <w:rFonts w:eastAsia="仿宋_GB2312"/>
                <w:sz w:val="24"/>
              </w:rPr>
              <w:t>4.</w:t>
            </w:r>
            <w:r>
              <w:rPr>
                <w:rFonts w:hint="eastAsia" w:eastAsia="仿宋_GB2312"/>
                <w:sz w:val="24"/>
              </w:rPr>
              <w:t>研究生进站培养计划和方案（限</w:t>
            </w:r>
            <w:r>
              <w:rPr>
                <w:rFonts w:eastAsia="仿宋_GB2312"/>
                <w:sz w:val="24"/>
              </w:rPr>
              <w:t>800</w:t>
            </w:r>
            <w:r>
              <w:rPr>
                <w:rFonts w:hint="eastAsia" w:eastAsia="仿宋_GB2312"/>
                <w:sz w:val="24"/>
              </w:rPr>
              <w:t>字以内）</w:t>
            </w:r>
          </w:p>
          <w:p>
            <w:pPr>
              <w:rPr>
                <w:rFonts w:eastAsia="仿宋_GB2312"/>
                <w:sz w:val="24"/>
              </w:rPr>
            </w:pPr>
            <w:r>
              <w:rPr>
                <w:rFonts w:hint="eastAsia" w:eastAsia="仿宋_GB2312"/>
                <w:sz w:val="24"/>
              </w:rPr>
              <w:t>1）研究方向：以有色金属领域内科学技术研究、开发和推广为核心，以承担钨与稀土等有色金属矿产品委托检验、地质实验测试、环境监测与检验及分析检测技术培训工作为背景，以培养我国有色金属检测与研发领域亟需的高级工程人才为目标，主要研究内容和方向为：</w:t>
            </w:r>
          </w:p>
          <w:p>
            <w:pPr>
              <w:rPr>
                <w:rFonts w:eastAsia="仿宋_GB2312"/>
                <w:sz w:val="24"/>
              </w:rPr>
            </w:pPr>
            <w:r>
              <w:rPr>
                <w:rFonts w:hint="eastAsia" w:eastAsia="仿宋_GB2312"/>
                <w:sz w:val="24"/>
              </w:rPr>
              <w:t>①超细钨粉碳化钨粉、钨铜合金、银钨合金、硬质合金、钨新材料等方向开展新产品、新工艺和新装备研发和产业化；</w:t>
            </w:r>
          </w:p>
          <w:p>
            <w:pPr>
              <w:rPr>
                <w:rFonts w:eastAsia="仿宋_GB2312"/>
                <w:sz w:val="24"/>
              </w:rPr>
            </w:pPr>
            <w:r>
              <w:rPr>
                <w:rFonts w:hint="eastAsia" w:eastAsia="仿宋_GB2312"/>
                <w:sz w:val="24"/>
              </w:rPr>
              <w:t>②钨、锡、稀土等二次资源综合回收利用；</w:t>
            </w:r>
          </w:p>
          <w:p>
            <w:pPr>
              <w:rPr>
                <w:rFonts w:eastAsia="仿宋_GB2312"/>
                <w:sz w:val="24"/>
              </w:rPr>
            </w:pPr>
            <w:r>
              <w:rPr>
                <w:rFonts w:hint="eastAsia" w:eastAsia="仿宋_GB2312"/>
                <w:sz w:val="24"/>
              </w:rPr>
              <w:t>③有色金属冶炼与加工；</w:t>
            </w:r>
          </w:p>
          <w:p>
            <w:pPr>
              <w:rPr>
                <w:rFonts w:eastAsia="仿宋_GB2312"/>
                <w:sz w:val="24"/>
              </w:rPr>
            </w:pPr>
            <w:r>
              <w:rPr>
                <w:rFonts w:hint="eastAsia" w:eastAsia="仿宋_GB2312"/>
                <w:sz w:val="24"/>
              </w:rPr>
              <w:t>④永磁材料磁性能分析检查和材料测试评价研究；</w:t>
            </w:r>
          </w:p>
          <w:p>
            <w:pPr>
              <w:rPr>
                <w:rFonts w:eastAsia="仿宋_GB2312"/>
                <w:sz w:val="24"/>
              </w:rPr>
            </w:pPr>
            <w:r>
              <w:rPr>
                <w:rFonts w:hint="eastAsia" w:eastAsia="仿宋_GB2312"/>
                <w:sz w:val="24"/>
              </w:rPr>
              <w:t>⑤稀土、钨有色检验检测方法研究及标准化；</w:t>
            </w:r>
          </w:p>
          <w:p>
            <w:pPr>
              <w:rPr>
                <w:rFonts w:eastAsia="仿宋_GB2312"/>
                <w:sz w:val="24"/>
              </w:rPr>
            </w:pPr>
            <w:r>
              <w:rPr>
                <w:rFonts w:hint="eastAsia" w:eastAsia="仿宋_GB2312"/>
                <w:sz w:val="24"/>
              </w:rPr>
              <w:t>⑥绿色制造及双碳研究。</w:t>
            </w:r>
          </w:p>
          <w:p>
            <w:pPr>
              <w:rPr>
                <w:rFonts w:eastAsia="仿宋_GB2312"/>
                <w:sz w:val="24"/>
              </w:rPr>
            </w:pPr>
            <w:r>
              <w:rPr>
                <w:rFonts w:hint="eastAsia" w:eastAsia="仿宋_GB2312"/>
                <w:sz w:val="24"/>
              </w:rPr>
              <w:t>2）培养目标：培养应用型、复合式高层次工程技术人才，了解本领域技术现在和发展趋势，能够流畅阅读本领域国内外科技资料和文献，具有国际视野和良好的沟通能力，掌握本领域的基础理论和解决工程实际问题的先进技术方法与现代技术手段，在本领域某一方面具有独立从事技术研究、技术开发核技术产业化管理。</w:t>
            </w:r>
          </w:p>
          <w:p>
            <w:pPr>
              <w:rPr>
                <w:rFonts w:eastAsia="仿宋_GB2312"/>
                <w:sz w:val="24"/>
              </w:rPr>
            </w:pPr>
            <w:r>
              <w:rPr>
                <w:rFonts w:hint="eastAsia" w:eastAsia="仿宋_GB2312"/>
                <w:sz w:val="24"/>
              </w:rPr>
              <w:t>3）培养方式：采用课程学习、实践教学和学位论文相结合的培养模式，其中第一年课程学习在江西理工大学进行，后续的实践教学和学位论文在江西省钨与稀土产品质量监督检验中心进行。校内导师主要负责研究生在校期间的管理，校外导师主要负责研究生在单位实践过程的管理。</w:t>
            </w:r>
          </w:p>
          <w:p>
            <w:pPr>
              <w:rPr>
                <w:rFonts w:eastAsia="仿宋_GB2312"/>
                <w:sz w:val="24"/>
              </w:rPr>
            </w:pPr>
            <w:r>
              <w:rPr>
                <w:rFonts w:hint="eastAsia" w:eastAsia="仿宋_GB2312"/>
                <w:sz w:val="24"/>
              </w:rPr>
              <w:t>4）科学研究和实践：鼓励研究生在单位进行科学研究及实践，为研究生提供科学研究与实践的基本条件，并组成校外导师组确保研究生在江西省钨与稀土产品质量监督检验中心的科学研究及实践的顺利进行，中心提供工程实际或具有明确工程技术背景的研究方案给在站研究生进行科学研究，在站研究生最终所撰写的学位论文应具有一定的技术要求和工作量，体现作者综合运用科学理论、方法和技术手段解决工程技术问题的能力，并具有一定的理论基础，具有先进性、实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3044" w:type="dxa"/>
            <w:gridSpan w:val="2"/>
            <w:tcBorders>
              <w:top w:val="single" w:color="auto" w:sz="4" w:space="0"/>
              <w:left w:val="single" w:color="auto" w:sz="4" w:space="0"/>
              <w:bottom w:val="single" w:color="auto" w:sz="4" w:space="0"/>
              <w:right w:val="single" w:color="auto" w:sz="4" w:space="0"/>
            </w:tcBorders>
          </w:tcPr>
          <w:p>
            <w:pPr>
              <w:rPr>
                <w:rFonts w:eastAsia="仿宋_GB2312"/>
                <w:sz w:val="24"/>
              </w:rPr>
            </w:pPr>
          </w:p>
          <w:p>
            <w:pPr>
              <w:rPr>
                <w:rFonts w:eastAsia="仿宋_GB2312"/>
                <w:sz w:val="24"/>
              </w:rPr>
            </w:pPr>
            <w:r>
              <w:rPr>
                <w:rFonts w:hint="eastAsia" w:eastAsia="仿宋_GB2312"/>
                <w:sz w:val="24"/>
              </w:rPr>
              <w:t>设站单位意见</w:t>
            </w:r>
          </w:p>
          <w:p>
            <w:pPr>
              <w:rPr>
                <w:rFonts w:eastAsia="仿宋_GB2312"/>
                <w:sz w:val="24"/>
              </w:rPr>
            </w:pPr>
            <w:r>
              <w:rPr>
                <w:rFonts w:hint="eastAsia"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hint="eastAsia" w:eastAsia="仿宋_GB2312"/>
                <w:sz w:val="24"/>
              </w:rPr>
              <w:t>负责人签字</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hint="eastAsia" w:eastAsia="仿宋_GB2312"/>
                <w:sz w:val="24"/>
              </w:rPr>
              <w:t>年   月   日</w:t>
            </w:r>
          </w:p>
        </w:tc>
        <w:tc>
          <w:tcPr>
            <w:tcW w:w="2977" w:type="dxa"/>
            <w:gridSpan w:val="5"/>
            <w:tcBorders>
              <w:top w:val="single" w:color="auto" w:sz="4" w:space="0"/>
              <w:left w:val="single" w:color="auto" w:sz="4" w:space="0"/>
              <w:bottom w:val="single" w:color="auto" w:sz="4" w:space="0"/>
              <w:right w:val="single" w:color="auto" w:sz="4" w:space="0"/>
            </w:tcBorders>
          </w:tcPr>
          <w:p>
            <w:pPr>
              <w:rPr>
                <w:rFonts w:eastAsia="仿宋_GB2312"/>
                <w:sz w:val="24"/>
              </w:rPr>
            </w:pPr>
          </w:p>
          <w:p>
            <w:pPr>
              <w:rPr>
                <w:rFonts w:eastAsia="仿宋_GB2312"/>
                <w:sz w:val="24"/>
              </w:rPr>
            </w:pPr>
            <w:r>
              <w:rPr>
                <w:rFonts w:hint="eastAsia" w:eastAsia="仿宋_GB2312"/>
                <w:sz w:val="24"/>
              </w:rPr>
              <w:t>高校所属院系意见</w:t>
            </w:r>
          </w:p>
          <w:p>
            <w:pPr>
              <w:rPr>
                <w:rFonts w:eastAsia="仿宋_GB2312"/>
                <w:sz w:val="24"/>
              </w:rPr>
            </w:pPr>
            <w:r>
              <w:rPr>
                <w:rFonts w:hint="eastAsia"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hint="eastAsia" w:eastAsia="仿宋_GB2312"/>
                <w:sz w:val="24"/>
              </w:rPr>
              <w:t>负责人签字</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hint="eastAsia" w:eastAsia="仿宋_GB2312"/>
                <w:sz w:val="24"/>
              </w:rPr>
              <w:t>年   月   日</w:t>
            </w:r>
          </w:p>
        </w:tc>
        <w:tc>
          <w:tcPr>
            <w:tcW w:w="3354" w:type="dxa"/>
            <w:gridSpan w:val="3"/>
            <w:tcBorders>
              <w:top w:val="single" w:color="auto" w:sz="4" w:space="0"/>
              <w:left w:val="single" w:color="auto" w:sz="4" w:space="0"/>
              <w:bottom w:val="single" w:color="auto" w:sz="4" w:space="0"/>
              <w:right w:val="single" w:color="auto" w:sz="4" w:space="0"/>
            </w:tcBorders>
          </w:tcPr>
          <w:p>
            <w:pPr>
              <w:rPr>
                <w:rFonts w:eastAsia="仿宋_GB2312"/>
                <w:sz w:val="24"/>
              </w:rPr>
            </w:pPr>
          </w:p>
          <w:p>
            <w:pPr>
              <w:rPr>
                <w:rFonts w:eastAsia="仿宋_GB2312"/>
                <w:sz w:val="24"/>
              </w:rPr>
            </w:pPr>
            <w:r>
              <w:rPr>
                <w:rFonts w:hint="eastAsia" w:eastAsia="仿宋_GB2312"/>
                <w:sz w:val="24"/>
              </w:rPr>
              <w:t>高校意见</w:t>
            </w:r>
          </w:p>
          <w:p>
            <w:pPr>
              <w:rPr>
                <w:rFonts w:eastAsia="仿宋_GB2312"/>
                <w:sz w:val="24"/>
              </w:rPr>
            </w:pPr>
            <w:r>
              <w:rPr>
                <w:rFonts w:hint="eastAsia"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hint="eastAsia" w:eastAsia="仿宋_GB2312"/>
                <w:sz w:val="24"/>
              </w:rPr>
              <w:t>负责人签字</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hint="eastAsia" w:eastAsia="仿宋_GB2312"/>
                <w:sz w:val="24"/>
              </w:rPr>
              <w:t>年   月   日</w:t>
            </w:r>
          </w:p>
        </w:tc>
      </w:tr>
    </w:tbl>
    <w:p/>
    <w:p>
      <w:pPr>
        <w:spacing w:line="320" w:lineRule="exact"/>
        <w:ind w:firstLine="480" w:firstLineChars="200"/>
        <w:rPr>
          <w:rFonts w:ascii="仿宋_GB2312" w:eastAsia="仿宋_GB2312"/>
          <w:sz w:val="24"/>
        </w:rPr>
      </w:pPr>
      <w:r>
        <w:rPr>
          <w:rFonts w:hint="eastAsia" w:ascii="仿宋_GB2312" w:eastAsia="仿宋_GB2312"/>
          <w:sz w:val="24"/>
        </w:rPr>
        <w:t>备注：“国家级学术头衔”是指：院士、中组部人才计划、国家高层次人才特殊支持计划、长江学者奖励计划、国家杰出青年科学基金项目、国家优秀青年科学基金项目；</w:t>
      </w:r>
    </w:p>
    <w:p>
      <w:pPr>
        <w:spacing w:line="320" w:lineRule="exact"/>
        <w:ind w:firstLine="480" w:firstLineChars="200"/>
        <w:rPr>
          <w:rFonts w:ascii="仿宋_GB2312" w:eastAsia="仿宋_GB2312"/>
          <w:sz w:val="24"/>
        </w:rPr>
      </w:pPr>
      <w:r>
        <w:rPr>
          <w:rFonts w:hint="eastAsia" w:ascii="仿宋_GB2312" w:eastAsia="仿宋_GB2312"/>
          <w:sz w:val="24"/>
        </w:rPr>
        <w:t>“省级学术头衔”是指：省“双千计划”（赣鄱英才555）、井冈学者奖励计划、省人社厅百千万人才工程、省科技厅主要学科学术和技术带头人、省委宣传部“四个一批”。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hZGM3Njk5ZDI2MmIxZTdkM2JlNGFmMmI5MzdmZGMifQ=="/>
  </w:docVars>
  <w:rsids>
    <w:rsidRoot w:val="00986FE7"/>
    <w:rsid w:val="000B6CFA"/>
    <w:rsid w:val="000D4ABD"/>
    <w:rsid w:val="000F29E2"/>
    <w:rsid w:val="00135DC4"/>
    <w:rsid w:val="00144DAC"/>
    <w:rsid w:val="00212610"/>
    <w:rsid w:val="002A6E08"/>
    <w:rsid w:val="002B3692"/>
    <w:rsid w:val="002B66E8"/>
    <w:rsid w:val="002C6612"/>
    <w:rsid w:val="002E7D7E"/>
    <w:rsid w:val="00301F2E"/>
    <w:rsid w:val="003360F5"/>
    <w:rsid w:val="00410D5C"/>
    <w:rsid w:val="00475EAE"/>
    <w:rsid w:val="00480D64"/>
    <w:rsid w:val="004F550C"/>
    <w:rsid w:val="00553CB1"/>
    <w:rsid w:val="00576952"/>
    <w:rsid w:val="00594EEC"/>
    <w:rsid w:val="005A1DDC"/>
    <w:rsid w:val="00607656"/>
    <w:rsid w:val="00613C61"/>
    <w:rsid w:val="0066087A"/>
    <w:rsid w:val="00666FC6"/>
    <w:rsid w:val="006A7A26"/>
    <w:rsid w:val="006D3FC3"/>
    <w:rsid w:val="007048BB"/>
    <w:rsid w:val="00706FC9"/>
    <w:rsid w:val="007B35B9"/>
    <w:rsid w:val="00812DBA"/>
    <w:rsid w:val="00851AD0"/>
    <w:rsid w:val="00880E15"/>
    <w:rsid w:val="00886EE0"/>
    <w:rsid w:val="008C32F6"/>
    <w:rsid w:val="009168A9"/>
    <w:rsid w:val="009654B1"/>
    <w:rsid w:val="00986FE7"/>
    <w:rsid w:val="009C0BBF"/>
    <w:rsid w:val="00A00F70"/>
    <w:rsid w:val="00A7134F"/>
    <w:rsid w:val="00B019B7"/>
    <w:rsid w:val="00B438F0"/>
    <w:rsid w:val="00B67579"/>
    <w:rsid w:val="00C0262D"/>
    <w:rsid w:val="00C06C8B"/>
    <w:rsid w:val="00C610CA"/>
    <w:rsid w:val="00CD286C"/>
    <w:rsid w:val="00D06923"/>
    <w:rsid w:val="00D70722"/>
    <w:rsid w:val="00EB4C7B"/>
    <w:rsid w:val="00F13538"/>
    <w:rsid w:val="04044850"/>
    <w:rsid w:val="11511F61"/>
    <w:rsid w:val="14463253"/>
    <w:rsid w:val="158505D8"/>
    <w:rsid w:val="27A77DFA"/>
    <w:rsid w:val="328A7BE1"/>
    <w:rsid w:val="37117919"/>
    <w:rsid w:val="3B044014"/>
    <w:rsid w:val="3E2E08E3"/>
    <w:rsid w:val="3EB56DDC"/>
    <w:rsid w:val="43CD7111"/>
    <w:rsid w:val="48DF5182"/>
    <w:rsid w:val="4C9816E3"/>
    <w:rsid w:val="56C924E1"/>
    <w:rsid w:val="5AC4691D"/>
    <w:rsid w:val="5B465534"/>
    <w:rsid w:val="6C022533"/>
    <w:rsid w:val="771A5BB9"/>
    <w:rsid w:val="7CFE76C2"/>
    <w:rsid w:val="7F0756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character" w:customStyle="1" w:styleId="8">
    <w:name w:val="批注框文本 Char"/>
    <w:basedOn w:val="7"/>
    <w:link w:val="2"/>
    <w:semiHidden/>
    <w:qFormat/>
    <w:uiPriority w:val="99"/>
    <w:rPr>
      <w:rFonts w:ascii="Times New Roman" w:hAnsi="Times New Roman" w:eastAsia="宋体" w:cs="Times New Roman"/>
      <w:sz w:val="18"/>
      <w:szCs w:val="18"/>
    </w:rPr>
  </w:style>
  <w:style w:type="character" w:customStyle="1" w:styleId="9">
    <w:name w:val="页眉 Char"/>
    <w:basedOn w:val="7"/>
    <w:link w:val="4"/>
    <w:uiPriority w:val="99"/>
    <w:rPr>
      <w:kern w:val="2"/>
      <w:sz w:val="18"/>
      <w:szCs w:val="18"/>
    </w:rPr>
  </w:style>
  <w:style w:type="character" w:customStyle="1" w:styleId="10">
    <w:name w:val="页脚 Char"/>
    <w:basedOn w:val="7"/>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822</Words>
  <Characters>4689</Characters>
  <Lines>39</Lines>
  <Paragraphs>10</Paragraphs>
  <TotalTime>1</TotalTime>
  <ScaleCrop>false</ScaleCrop>
  <LinksUpToDate>false</LinksUpToDate>
  <CharactersWithSpaces>5501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2022-12-04T14:10:00Z</dcterms:created>
  <dc:creator>黎阳</dc:creator>
  <cp:lastModifiedBy>国检中心徐娜</cp:lastModifiedBy>
  <cp:lastPrinted>2022-12-06T06:43:00Z</cp:lastPrinted>
  <dcterms:modified xsi:type="dcterms:W3CDTF">2023-11-23T10:18:33Z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A66F110FA3674227BF2C63E9C52D9DC6</vt:lpwstr>
  </property>
</Properties>
</file>